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7A57F" w14:textId="77777777" w:rsidR="00DA6FE3" w:rsidRDefault="00AF4CA7">
      <w:pPr>
        <w:pStyle w:val="NormalWeb"/>
        <w:spacing w:before="0" w:after="0"/>
        <w:jc w:val="center"/>
      </w:pPr>
      <w:r>
        <w:rPr>
          <w:noProof/>
        </w:rPr>
        <w:drawing>
          <wp:inline distT="0" distB="0" distL="0" distR="0" wp14:anchorId="4F18CE40" wp14:editId="05AD5794">
            <wp:extent cx="2371725" cy="7143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371725" cy="714375"/>
                    </a:xfrm>
                    <a:prstGeom prst="rect">
                      <a:avLst/>
                    </a:prstGeom>
                    <a:noFill/>
                    <a:ln>
                      <a:noFill/>
                      <a:prstDash/>
                    </a:ln>
                  </pic:spPr>
                </pic:pic>
              </a:graphicData>
            </a:graphic>
          </wp:inline>
        </w:drawing>
      </w:r>
    </w:p>
    <w:p w14:paraId="4F14E33C" w14:textId="77777777" w:rsidR="00DA6FE3" w:rsidRDefault="00AF4CA7">
      <w:pPr>
        <w:pStyle w:val="NormalWeb"/>
        <w:spacing w:before="0" w:after="0"/>
        <w:jc w:val="center"/>
        <w:rPr>
          <w:b/>
          <w:bCs/>
          <w:sz w:val="28"/>
          <w:szCs w:val="28"/>
          <w:lang w:val="fr-FR"/>
        </w:rPr>
      </w:pPr>
      <w:r>
        <w:rPr>
          <w:b/>
          <w:bCs/>
          <w:sz w:val="28"/>
          <w:szCs w:val="28"/>
          <w:lang w:val="fr-FR"/>
        </w:rPr>
        <w:t xml:space="preserve">International Rescue </w:t>
      </w:r>
      <w:proofErr w:type="spellStart"/>
      <w:r>
        <w:rPr>
          <w:b/>
          <w:bCs/>
          <w:sz w:val="28"/>
          <w:szCs w:val="28"/>
          <w:lang w:val="fr-FR"/>
        </w:rPr>
        <w:t>Committee</w:t>
      </w:r>
      <w:proofErr w:type="spellEnd"/>
    </w:p>
    <w:p w14:paraId="6F5E566D" w14:textId="77777777" w:rsidR="00DA6FE3" w:rsidRDefault="00AF4CA7">
      <w:pPr>
        <w:pStyle w:val="NormalWeb"/>
        <w:spacing w:before="0" w:after="0"/>
      </w:pPr>
      <w:hyperlink r:id="rId8" w:history="1">
        <w:r>
          <w:rPr>
            <w:rStyle w:val="Hyperlink"/>
            <w:b/>
            <w:bCs/>
            <w:lang w:val="fr-FR"/>
          </w:rPr>
          <w:t>En f</w:t>
        </w:r>
        <w:bookmarkStart w:id="0" w:name="_Hlt88139750"/>
        <w:bookmarkStart w:id="1" w:name="_Hlt88139751"/>
        <w:r>
          <w:rPr>
            <w:rStyle w:val="Hyperlink"/>
            <w:b/>
            <w:bCs/>
            <w:lang w:val="fr-FR"/>
          </w:rPr>
          <w:t>r</w:t>
        </w:r>
        <w:bookmarkEnd w:id="0"/>
        <w:bookmarkEnd w:id="1"/>
        <w:r>
          <w:rPr>
            <w:rStyle w:val="Hyperlink"/>
            <w:b/>
            <w:bCs/>
            <w:lang w:val="fr-FR"/>
          </w:rPr>
          <w:t>ançais</w:t>
        </w:r>
      </w:hyperlink>
      <w:r>
        <w:rPr>
          <w:b/>
          <w:bCs/>
          <w:lang w:val="fr-FR"/>
        </w:rPr>
        <w:t xml:space="preserve">  </w:t>
      </w:r>
      <w:hyperlink r:id="rId9" w:history="1">
        <w:r>
          <w:rPr>
            <w:rStyle w:val="Hyperlink"/>
            <w:b/>
            <w:bCs/>
            <w:lang w:val="fr-FR"/>
          </w:rPr>
          <w:t xml:space="preserve">En </w:t>
        </w:r>
        <w:proofErr w:type="spellStart"/>
        <w:r>
          <w:rPr>
            <w:rStyle w:val="Hyperlink"/>
            <w:b/>
            <w:bCs/>
            <w:lang w:val="fr-FR"/>
          </w:rPr>
          <w:t>es</w:t>
        </w:r>
        <w:bookmarkStart w:id="2" w:name="_Hlt88139737"/>
        <w:bookmarkStart w:id="3" w:name="_Hlt88139738"/>
        <w:r>
          <w:rPr>
            <w:rStyle w:val="Hyperlink"/>
            <w:b/>
            <w:bCs/>
            <w:lang w:val="fr-FR"/>
          </w:rPr>
          <w:t>p</w:t>
        </w:r>
        <w:bookmarkEnd w:id="2"/>
        <w:bookmarkEnd w:id="3"/>
        <w:r>
          <w:rPr>
            <w:rStyle w:val="Hyperlink"/>
            <w:b/>
            <w:bCs/>
            <w:lang w:val="fr-FR"/>
          </w:rPr>
          <w:t>añol</w:t>
        </w:r>
        <w:proofErr w:type="spellEnd"/>
      </w:hyperlink>
      <w:r>
        <w:rPr>
          <w:b/>
          <w:bCs/>
          <w:lang w:val="fr-FR"/>
        </w:rPr>
        <w:t xml:space="preserve"> </w:t>
      </w:r>
    </w:p>
    <w:p w14:paraId="11268771" w14:textId="77777777" w:rsidR="00DA6FE3" w:rsidRDefault="00DA6FE3">
      <w:pPr>
        <w:pStyle w:val="NormalWeb"/>
        <w:spacing w:before="0" w:after="0"/>
        <w:rPr>
          <w:b/>
          <w:bCs/>
          <w:lang w:val="fr-FR"/>
        </w:rPr>
      </w:pPr>
    </w:p>
    <w:p w14:paraId="0E26A6A3" w14:textId="77777777" w:rsidR="00DA6FE3" w:rsidRDefault="00AF4CA7">
      <w:pPr>
        <w:pStyle w:val="NormalWeb"/>
        <w:spacing w:before="0" w:after="0"/>
        <w:jc w:val="center"/>
        <w:rPr>
          <w:b/>
          <w:bCs/>
          <w:sz w:val="28"/>
          <w:szCs w:val="28"/>
        </w:rPr>
      </w:pPr>
      <w:r>
        <w:rPr>
          <w:b/>
          <w:bCs/>
          <w:sz w:val="28"/>
          <w:szCs w:val="28"/>
        </w:rPr>
        <w:t>Whilst we celebrate the Convention on the Rights of the Child, girls and boys are yet to fully enjoy their rights.</w:t>
      </w:r>
    </w:p>
    <w:p w14:paraId="7BD3719C" w14:textId="77777777" w:rsidR="00DA6FE3" w:rsidRDefault="00AF4CA7">
      <w:pPr>
        <w:pStyle w:val="NormalWeb"/>
        <w:spacing w:before="0" w:after="0"/>
        <w:jc w:val="center"/>
        <w:rPr>
          <w:b/>
          <w:bCs/>
          <w:sz w:val="28"/>
          <w:szCs w:val="28"/>
        </w:rPr>
      </w:pPr>
      <w:r>
        <w:rPr>
          <w:b/>
          <w:bCs/>
          <w:sz w:val="28"/>
          <w:szCs w:val="28"/>
        </w:rPr>
        <w:t xml:space="preserve">  </w:t>
      </w:r>
    </w:p>
    <w:p w14:paraId="79BA68ED" w14:textId="77777777" w:rsidR="00DA6FE3" w:rsidRDefault="00AF4CA7">
      <w:pPr>
        <w:pStyle w:val="NormalWeb"/>
        <w:spacing w:before="0" w:after="0"/>
        <w:jc w:val="center"/>
        <w:rPr>
          <w:b/>
          <w:bCs/>
          <w:sz w:val="24"/>
          <w:szCs w:val="24"/>
        </w:rPr>
      </w:pPr>
      <w:r>
        <w:rPr>
          <w:b/>
          <w:bCs/>
          <w:sz w:val="24"/>
          <w:szCs w:val="24"/>
        </w:rPr>
        <w:t>Critical gaps in child protect</w:t>
      </w:r>
      <w:r>
        <w:rPr>
          <w:b/>
          <w:bCs/>
          <w:sz w:val="24"/>
          <w:szCs w:val="24"/>
        </w:rPr>
        <w:t xml:space="preserve">ion services remain which place the lives of millions of children at risk </w:t>
      </w:r>
    </w:p>
    <w:p w14:paraId="7F5844A7" w14:textId="77777777" w:rsidR="00DA6FE3" w:rsidRDefault="00DA6FE3">
      <w:pPr>
        <w:pStyle w:val="NormalWeb"/>
        <w:spacing w:before="0" w:after="0"/>
        <w:jc w:val="both"/>
      </w:pPr>
    </w:p>
    <w:p w14:paraId="784EC4E8" w14:textId="77777777" w:rsidR="00DA6FE3" w:rsidRDefault="00AF4CA7">
      <w:pPr>
        <w:pStyle w:val="NormalWeb"/>
        <w:spacing w:before="0" w:after="0"/>
        <w:jc w:val="both"/>
        <w:rPr>
          <w:b/>
          <w:bCs/>
          <w:color w:val="000000"/>
        </w:rPr>
      </w:pPr>
      <w:r>
        <w:rPr>
          <w:b/>
          <w:bCs/>
          <w:color w:val="000000"/>
        </w:rPr>
        <w:t xml:space="preserve">What we know?  </w:t>
      </w:r>
    </w:p>
    <w:p w14:paraId="00E4FD6F" w14:textId="77777777" w:rsidR="00DA6FE3" w:rsidRDefault="00AF4CA7">
      <w:pPr>
        <w:pStyle w:val="NormalWeb"/>
        <w:spacing w:before="0" w:after="0"/>
        <w:jc w:val="both"/>
      </w:pPr>
      <w:r>
        <w:rPr>
          <w:color w:val="000000"/>
        </w:rPr>
        <w:t xml:space="preserve">The International Rescue Committee (IRC) works with </w:t>
      </w:r>
      <w:r>
        <w:rPr>
          <w:b/>
          <w:bCs/>
          <w:color w:val="000000"/>
        </w:rPr>
        <w:t xml:space="preserve">children at risk or exposed to violence, neglect, </w:t>
      </w:r>
      <w:proofErr w:type="gramStart"/>
      <w:r>
        <w:rPr>
          <w:b/>
          <w:bCs/>
          <w:color w:val="000000"/>
        </w:rPr>
        <w:t>abuse</w:t>
      </w:r>
      <w:proofErr w:type="gramEnd"/>
      <w:r>
        <w:rPr>
          <w:b/>
          <w:bCs/>
          <w:color w:val="000000"/>
        </w:rPr>
        <w:t xml:space="preserve"> and exploitation in over 32 countries around the world. </w:t>
      </w:r>
      <w:r>
        <w:rPr>
          <w:color w:val="000000"/>
        </w:rPr>
        <w:t>In all these countries IRC and other Child Protection actors work with children themselves, and their caregivers and communities to improve safety. Humanitarian actors are however only able to reach a fraction of the children in need of protection services</w:t>
      </w:r>
      <w:r>
        <w:rPr>
          <w:color w:val="000000"/>
        </w:rPr>
        <w:t xml:space="preserve"> due to shortfalls in donor funding for the child protection sector. We know that Covid-19 pandemic has made the situation worse for boys and girls.</w:t>
      </w:r>
    </w:p>
    <w:p w14:paraId="6BDB3641" w14:textId="77777777" w:rsidR="00DA6FE3" w:rsidRDefault="00DA6FE3">
      <w:pPr>
        <w:pStyle w:val="NormalWeb"/>
        <w:spacing w:before="0" w:after="0"/>
        <w:jc w:val="both"/>
        <w:rPr>
          <w:b/>
          <w:bCs/>
        </w:rPr>
      </w:pPr>
    </w:p>
    <w:p w14:paraId="53BD5EE3" w14:textId="77777777" w:rsidR="00DA6FE3" w:rsidRDefault="00AF4CA7">
      <w:pPr>
        <w:pStyle w:val="NormalWeb"/>
        <w:spacing w:before="0" w:after="0"/>
        <w:jc w:val="both"/>
      </w:pPr>
      <w:r>
        <w:rPr>
          <w:b/>
          <w:bCs/>
          <w:lang w:val="en-GB"/>
        </w:rPr>
        <w:t xml:space="preserve">Evidence on cycles of violence from IRC and other studies:  </w:t>
      </w:r>
    </w:p>
    <w:p w14:paraId="22EE18D6" w14:textId="77777777" w:rsidR="00DA6FE3" w:rsidRDefault="00AF4CA7">
      <w:pPr>
        <w:pStyle w:val="NormalWeb"/>
        <w:numPr>
          <w:ilvl w:val="0"/>
          <w:numId w:val="1"/>
        </w:numPr>
        <w:spacing w:before="0" w:after="0"/>
        <w:jc w:val="both"/>
      </w:pPr>
      <w:r>
        <w:rPr>
          <w:color w:val="222222"/>
        </w:rPr>
        <w:t xml:space="preserve">Experiences of violence as a child are </w:t>
      </w:r>
      <w:r>
        <w:rPr>
          <w:color w:val="222222"/>
        </w:rPr>
        <w:t>associated with both perpetration of violence and experience of violence in adulthood.</w:t>
      </w:r>
      <w:r>
        <w:rPr>
          <w:rStyle w:val="FootnoteReference"/>
          <w:color w:val="222222"/>
        </w:rPr>
        <w:footnoteReference w:id="1"/>
      </w:r>
      <w:r>
        <w:rPr>
          <w:color w:val="222222"/>
        </w:rPr>
        <w:t xml:space="preserve"> </w:t>
      </w:r>
    </w:p>
    <w:p w14:paraId="233B9293" w14:textId="77777777" w:rsidR="00DA6FE3" w:rsidRDefault="00AF4CA7">
      <w:pPr>
        <w:pStyle w:val="NormalWeb"/>
        <w:numPr>
          <w:ilvl w:val="0"/>
          <w:numId w:val="1"/>
        </w:numPr>
        <w:spacing w:before="0" w:after="0"/>
        <w:jc w:val="both"/>
      </w:pPr>
      <w:r>
        <w:rPr>
          <w:color w:val="222222"/>
        </w:rPr>
        <w:t xml:space="preserve">Experiencing intimate partner violence (IPV) for women is also linked to use of harsh </w:t>
      </w:r>
      <w:r>
        <w:rPr>
          <w:color w:val="222222"/>
        </w:rPr>
        <w:t>parenting behaviors.</w:t>
      </w:r>
      <w:r>
        <w:rPr>
          <w:rStyle w:val="FootnoteReference"/>
          <w:color w:val="222222"/>
        </w:rPr>
        <w:footnoteReference w:id="2"/>
      </w:r>
      <w:r>
        <w:rPr>
          <w:color w:val="222222"/>
        </w:rPr>
        <w:t xml:space="preserve"> </w:t>
      </w:r>
    </w:p>
    <w:p w14:paraId="3F72DA28" w14:textId="77777777" w:rsidR="00DA6FE3" w:rsidRDefault="00AF4CA7">
      <w:pPr>
        <w:pStyle w:val="NormalWeb"/>
        <w:numPr>
          <w:ilvl w:val="0"/>
          <w:numId w:val="1"/>
        </w:numPr>
        <w:spacing w:before="0" w:after="0"/>
        <w:jc w:val="both"/>
      </w:pPr>
      <w:r>
        <w:rPr>
          <w:color w:val="222222"/>
        </w:rPr>
        <w:t>An IRC study found that physical abuse as a child was associated with greater odds of recent co-occurring IPV and child maltreatment.</w:t>
      </w:r>
      <w:r>
        <w:rPr>
          <w:rStyle w:val="FootnoteReference"/>
          <w:color w:val="222222"/>
        </w:rPr>
        <w:footnoteReference w:id="3"/>
      </w:r>
    </w:p>
    <w:p w14:paraId="342818AF" w14:textId="77777777" w:rsidR="00DA6FE3" w:rsidRDefault="00AF4CA7">
      <w:pPr>
        <w:pStyle w:val="ListParagraph"/>
        <w:numPr>
          <w:ilvl w:val="0"/>
          <w:numId w:val="1"/>
        </w:numPr>
        <w:shd w:val="clear" w:color="auto" w:fill="FFFFFF"/>
        <w:jc w:val="both"/>
      </w:pPr>
      <w:r>
        <w:rPr>
          <w:color w:val="222222"/>
        </w:rPr>
        <w:t>Conflict and the fragility of social and economic conditions caused by conflict can also worsen</w:t>
      </w:r>
      <w:r>
        <w:rPr>
          <w:shd w:val="clear" w:color="auto" w:fill="FFFFFF"/>
        </w:rPr>
        <w:t xml:space="preserve"> ineq</w:t>
      </w:r>
      <w:r>
        <w:rPr>
          <w:shd w:val="clear" w:color="auto" w:fill="FFFFFF"/>
        </w:rPr>
        <w:t>uitable gender norms and increase violence within the home.</w:t>
      </w:r>
      <w:r>
        <w:rPr>
          <w:rStyle w:val="FootnoteReference"/>
          <w:shd w:val="clear" w:color="auto" w:fill="FFFFFF"/>
        </w:rPr>
        <w:t xml:space="preserve"> </w:t>
      </w:r>
      <w:r>
        <w:rPr>
          <w:rStyle w:val="FootnoteReference"/>
          <w:shd w:val="clear" w:color="auto" w:fill="FFFFFF"/>
        </w:rPr>
        <w:footnoteReference w:id="4"/>
      </w:r>
      <w:r>
        <w:rPr>
          <w:shd w:val="clear" w:color="auto" w:fill="FFFFFF"/>
        </w:rPr>
        <w:t xml:space="preserve"> </w:t>
      </w:r>
    </w:p>
    <w:p w14:paraId="0147B77D" w14:textId="77777777" w:rsidR="00DA6FE3" w:rsidRDefault="00AF4CA7">
      <w:pPr>
        <w:pStyle w:val="ListParagraph"/>
        <w:numPr>
          <w:ilvl w:val="0"/>
          <w:numId w:val="1"/>
        </w:numPr>
        <w:shd w:val="clear" w:color="auto" w:fill="FFFFFF"/>
        <w:jc w:val="both"/>
      </w:pPr>
      <w:r>
        <w:rPr>
          <w:rFonts w:eastAsia="Times New Roman"/>
          <w:color w:val="222222"/>
        </w:rPr>
        <w:t xml:space="preserve">The </w:t>
      </w:r>
      <w:r>
        <w:rPr>
          <w:rFonts w:eastAsia="Times New Roman"/>
          <w:b/>
          <w:bCs/>
          <w:color w:val="222222"/>
        </w:rPr>
        <w:t>prevalence of IPV against women and child maltreatment are staggeringly high within confli</w:t>
      </w:r>
      <w:r>
        <w:rPr>
          <w:rFonts w:eastAsia="Times New Roman"/>
          <w:b/>
          <w:bCs/>
          <w:color w:val="222222"/>
        </w:rPr>
        <w:t>ct and humanitarian settings.</w:t>
      </w:r>
      <w:r>
        <w:rPr>
          <w:rStyle w:val="FootnoteReference"/>
          <w:rFonts w:eastAsia="Times New Roman"/>
          <w:b/>
          <w:bCs/>
          <w:color w:val="222222"/>
        </w:rPr>
        <w:footnoteReference w:id="5"/>
      </w:r>
    </w:p>
    <w:p w14:paraId="3756D595" w14:textId="77777777" w:rsidR="00DA6FE3" w:rsidRDefault="00AF4CA7">
      <w:pPr>
        <w:pStyle w:val="ListParagraph"/>
        <w:numPr>
          <w:ilvl w:val="0"/>
          <w:numId w:val="1"/>
        </w:numPr>
        <w:shd w:val="clear" w:color="auto" w:fill="FFFFFF"/>
        <w:jc w:val="both"/>
      </w:pPr>
      <w:r>
        <w:rPr>
          <w:rFonts w:eastAsia="Times New Roman"/>
          <w:color w:val="222222"/>
        </w:rPr>
        <w:t>Evidence from IRC’s programs shows that parenting interventions can lead to reduced harsh punishment and promote improved child-parent relationships, which is vital for child development.</w:t>
      </w:r>
      <w:r>
        <w:rPr>
          <w:rStyle w:val="FootnoteReference"/>
          <w:rFonts w:eastAsia="Times New Roman"/>
          <w:color w:val="222222"/>
        </w:rPr>
        <w:footnoteReference w:id="6"/>
      </w:r>
    </w:p>
    <w:p w14:paraId="194C7E30" w14:textId="77777777" w:rsidR="00DA6FE3" w:rsidRDefault="00DA6FE3">
      <w:pPr>
        <w:pStyle w:val="NormalWeb"/>
        <w:spacing w:before="0" w:after="0"/>
        <w:jc w:val="both"/>
        <w:rPr>
          <w:b/>
          <w:bCs/>
          <w:lang w:val="en-GB"/>
        </w:rPr>
      </w:pPr>
    </w:p>
    <w:p w14:paraId="2691BA33" w14:textId="77777777" w:rsidR="00DA6FE3" w:rsidRDefault="00AF4CA7">
      <w:pPr>
        <w:pStyle w:val="NormalWeb"/>
        <w:spacing w:before="0" w:after="0"/>
        <w:rPr>
          <w:b/>
          <w:bCs/>
        </w:rPr>
      </w:pPr>
      <w:r>
        <w:rPr>
          <w:b/>
          <w:bCs/>
        </w:rPr>
        <w:t>IRC Fact/Myth</w:t>
      </w:r>
    </w:p>
    <w:p w14:paraId="3FA10A4C" w14:textId="77777777" w:rsidR="00DA6FE3" w:rsidRDefault="00AF4CA7">
      <w:pPr>
        <w:pStyle w:val="NormalWeb"/>
        <w:numPr>
          <w:ilvl w:val="0"/>
          <w:numId w:val="2"/>
        </w:numPr>
        <w:spacing w:before="0" w:after="0"/>
      </w:pPr>
      <w:r>
        <w:rPr>
          <w:b/>
          <w:bCs/>
        </w:rPr>
        <w:t>#Fact: This year, the IRC provided individualized support to over</w:t>
      </w:r>
      <w:r>
        <w:t xml:space="preserve"> 9,151 thousand children in case management, many of whom are experiencing abuse, humiliation, se</w:t>
      </w:r>
      <w:r>
        <w:t xml:space="preserve">vere neglect, exploitation, sexual abuse, distress, finding it hard to concentrate, connect or feel safe. </w:t>
      </w:r>
    </w:p>
    <w:p w14:paraId="2014E24C" w14:textId="77777777" w:rsidR="00DA6FE3" w:rsidRDefault="00AF4CA7">
      <w:pPr>
        <w:pStyle w:val="NormalWeb"/>
        <w:numPr>
          <w:ilvl w:val="0"/>
          <w:numId w:val="2"/>
        </w:numPr>
        <w:spacing w:before="0" w:after="0"/>
      </w:pPr>
      <w:r>
        <w:rPr>
          <w:b/>
          <w:bCs/>
        </w:rPr>
        <w:lastRenderedPageBreak/>
        <w:t>#Myth:</w:t>
      </w:r>
      <w:r>
        <w:t xml:space="preserve"> Globally, Child protection programs are sufficiently funded</w:t>
      </w:r>
    </w:p>
    <w:p w14:paraId="5C3A4B89" w14:textId="77777777" w:rsidR="00DA6FE3" w:rsidRDefault="00AF4CA7">
      <w:pPr>
        <w:pStyle w:val="NormalWeb"/>
        <w:numPr>
          <w:ilvl w:val="0"/>
          <w:numId w:val="2"/>
        </w:numPr>
        <w:spacing w:before="0" w:after="0"/>
      </w:pPr>
      <w:r>
        <w:rPr>
          <w:b/>
          <w:bCs/>
        </w:rPr>
        <w:t>#Fact</w:t>
      </w:r>
      <w:r>
        <w:t xml:space="preserve">: To improve MHPSS, IRC supported 73, 491 boys and girls in </w:t>
      </w:r>
      <w:r>
        <w:t xml:space="preserve">2020-2021 through Psychosocial Support interventions </w:t>
      </w:r>
    </w:p>
    <w:p w14:paraId="43709D03" w14:textId="77777777" w:rsidR="00DA6FE3" w:rsidRDefault="00AF4CA7">
      <w:pPr>
        <w:pStyle w:val="NormalWeb"/>
        <w:numPr>
          <w:ilvl w:val="0"/>
          <w:numId w:val="2"/>
        </w:numPr>
        <w:spacing w:before="0" w:after="0"/>
      </w:pPr>
      <w:r>
        <w:rPr>
          <w:b/>
          <w:bCs/>
          <w:color w:val="000000"/>
        </w:rPr>
        <w:t xml:space="preserve">#Fact: </w:t>
      </w:r>
      <w:r>
        <w:rPr>
          <w:color w:val="000000"/>
        </w:rPr>
        <w:t xml:space="preserve">On average, 33% participants in parenting program at the IRC are male, 67% are female </w:t>
      </w:r>
    </w:p>
    <w:p w14:paraId="5244588D" w14:textId="77777777" w:rsidR="00DA6FE3" w:rsidRDefault="00DA6FE3">
      <w:pPr>
        <w:pStyle w:val="NormalWeb"/>
        <w:spacing w:before="0" w:after="0"/>
        <w:jc w:val="both"/>
        <w:rPr>
          <w:b/>
          <w:bCs/>
        </w:rPr>
      </w:pPr>
    </w:p>
    <w:p w14:paraId="2305F89C" w14:textId="77777777" w:rsidR="00DA6FE3" w:rsidRDefault="00AF4CA7">
      <w:pPr>
        <w:pStyle w:val="NormalWeb"/>
        <w:spacing w:before="0" w:after="0"/>
        <w:jc w:val="both"/>
      </w:pPr>
      <w:r>
        <w:rPr>
          <w:b/>
          <w:bCs/>
          <w:lang w:val="en-GB"/>
        </w:rPr>
        <w:t>Funding Situation:</w:t>
      </w:r>
    </w:p>
    <w:p w14:paraId="371F34EA" w14:textId="77777777" w:rsidR="00DA6FE3" w:rsidRDefault="00AF4CA7">
      <w:pPr>
        <w:suppressAutoHyphens w:val="0"/>
        <w:spacing w:before="100" w:after="100"/>
        <w:jc w:val="both"/>
      </w:pPr>
      <w:r>
        <w:rPr>
          <w:rFonts w:eastAsia="Times New Roman" w:cs="Calibri"/>
          <w:color w:val="000000"/>
        </w:rPr>
        <w:t xml:space="preserve">The Inter Agency Global Child Protection Alliance reports that whilst </w:t>
      </w:r>
      <w:r>
        <w:rPr>
          <w:rFonts w:eastAsia="Times New Roman" w:cs="Calibri"/>
          <w:color w:val="000000"/>
          <w:lang w:val="en-GB"/>
        </w:rPr>
        <w:t xml:space="preserve">funding for Child </w:t>
      </w:r>
      <w:r>
        <w:rPr>
          <w:rFonts w:eastAsia="Times New Roman" w:cs="Calibri"/>
          <w:color w:val="000000"/>
          <w:lang w:val="en-GB"/>
        </w:rPr>
        <w:t xml:space="preserve">Protection has </w:t>
      </w:r>
      <w:proofErr w:type="gramStart"/>
      <w:r>
        <w:rPr>
          <w:rFonts w:eastAsia="Times New Roman" w:cs="Calibri"/>
          <w:color w:val="000000"/>
          <w:lang w:val="en-GB"/>
        </w:rPr>
        <w:t>actually increased</w:t>
      </w:r>
      <w:proofErr w:type="gramEnd"/>
      <w:r>
        <w:rPr>
          <w:rFonts w:eastAsia="Times New Roman" w:cs="Calibri"/>
          <w:color w:val="000000"/>
          <w:lang w:val="en-GB"/>
        </w:rPr>
        <w:t xml:space="preserve">, </w:t>
      </w:r>
      <w:r>
        <w:rPr>
          <w:rFonts w:eastAsia="Times New Roman" w:cs="Calibri"/>
          <w:b/>
          <w:bCs/>
          <w:color w:val="000000"/>
          <w:lang w:val="en-GB"/>
        </w:rPr>
        <w:t xml:space="preserve">the needs in 2021 increased so significantly, widening the gap in funding for life saving child </w:t>
      </w:r>
      <w:r>
        <w:rPr>
          <w:rFonts w:eastAsia="Times New Roman" w:cs="Calibri"/>
          <w:b/>
          <w:bCs/>
          <w:lang w:val="en-GB"/>
        </w:rPr>
        <w:t>protection services</w:t>
      </w:r>
      <w:r>
        <w:rPr>
          <w:rFonts w:eastAsia="Times New Roman" w:cs="Calibri"/>
          <w:lang w:val="en-GB"/>
        </w:rPr>
        <w:t xml:space="preserve">. </w:t>
      </w:r>
    </w:p>
    <w:p w14:paraId="433DD058" w14:textId="77777777" w:rsidR="00DA6FE3" w:rsidRDefault="00AF4CA7">
      <w:pPr>
        <w:numPr>
          <w:ilvl w:val="0"/>
          <w:numId w:val="3"/>
        </w:numPr>
        <w:suppressAutoHyphens w:val="0"/>
        <w:spacing w:after="0"/>
        <w:jc w:val="both"/>
      </w:pPr>
      <w:r>
        <w:rPr>
          <w:rFonts w:eastAsia="Times New Roman"/>
          <w:lang w:val="en-GB"/>
        </w:rPr>
        <w:t xml:space="preserve">Alarmingly the </w:t>
      </w:r>
      <w:r>
        <w:rPr>
          <w:rFonts w:eastAsia="Times New Roman"/>
        </w:rPr>
        <w:t>Child Protection Area of Responsibility (</w:t>
      </w:r>
      <w:proofErr w:type="spellStart"/>
      <w:r>
        <w:rPr>
          <w:rFonts w:eastAsia="Times New Roman"/>
        </w:rPr>
        <w:t>CPAoR</w:t>
      </w:r>
      <w:proofErr w:type="spellEnd"/>
      <w:r>
        <w:rPr>
          <w:rFonts w:eastAsia="Times New Roman"/>
        </w:rPr>
        <w:t xml:space="preserve">) </w:t>
      </w:r>
      <w:r>
        <w:rPr>
          <w:rFonts w:eastAsia="Times New Roman"/>
          <w:lang w:val="en-GB"/>
        </w:rPr>
        <w:t>saw a 40% increase in humanitarian casel</w:t>
      </w:r>
      <w:r>
        <w:rPr>
          <w:rFonts w:eastAsia="Times New Roman"/>
          <w:lang w:val="en-GB"/>
        </w:rPr>
        <w:t xml:space="preserve">oad of children in need of protection in 2021 </w:t>
      </w:r>
    </w:p>
    <w:p w14:paraId="356EA9EB" w14:textId="77777777" w:rsidR="00DA6FE3" w:rsidRDefault="00AF4CA7">
      <w:pPr>
        <w:numPr>
          <w:ilvl w:val="0"/>
          <w:numId w:val="3"/>
        </w:numPr>
        <w:suppressAutoHyphens w:val="0"/>
        <w:spacing w:before="100" w:after="100"/>
        <w:jc w:val="both"/>
      </w:pPr>
      <w:r>
        <w:rPr>
          <w:rFonts w:cs="Calibri"/>
          <w:shd w:val="clear" w:color="auto" w:fill="FFFFFF"/>
        </w:rPr>
        <w:t>IRC COVID monitoring data revealed that children were vastly affected by the impact of COVID. We know that when schools’ close children are at risk, when health facilities are inaccessible and overwhelmed chil</w:t>
      </w:r>
      <w:r>
        <w:rPr>
          <w:rFonts w:cs="Calibri"/>
          <w:shd w:val="clear" w:color="auto" w:fill="FFFFFF"/>
        </w:rPr>
        <w:t xml:space="preserve">dren are affected, when livelihoods are lost, children pay the price. </w:t>
      </w:r>
    </w:p>
    <w:p w14:paraId="71797010" w14:textId="77777777" w:rsidR="00DA6FE3" w:rsidRDefault="00DA6FE3">
      <w:pPr>
        <w:pStyle w:val="NormalWeb"/>
        <w:spacing w:before="0" w:after="0"/>
      </w:pPr>
    </w:p>
    <w:p w14:paraId="5ACD11E4" w14:textId="77777777" w:rsidR="00DA6FE3" w:rsidRDefault="00AF4CA7">
      <w:pPr>
        <w:pStyle w:val="NormalWeb"/>
        <w:spacing w:before="0" w:after="0"/>
        <w:jc w:val="both"/>
        <w:rPr>
          <w:b/>
          <w:bCs/>
        </w:rPr>
      </w:pPr>
      <w:r>
        <w:rPr>
          <w:b/>
          <w:bCs/>
        </w:rPr>
        <w:t xml:space="preserve">How can you help? </w:t>
      </w:r>
    </w:p>
    <w:p w14:paraId="0834503E" w14:textId="77777777" w:rsidR="00DA6FE3" w:rsidRDefault="00AF4CA7">
      <w:pPr>
        <w:pStyle w:val="NormalWeb"/>
        <w:numPr>
          <w:ilvl w:val="0"/>
          <w:numId w:val="4"/>
        </w:numPr>
        <w:spacing w:before="0" w:after="0"/>
        <w:jc w:val="both"/>
      </w:pPr>
      <w:r>
        <w:rPr>
          <w:b/>
          <w:bCs/>
        </w:rPr>
        <w:t>Education:</w:t>
      </w:r>
      <w:r>
        <w:t xml:space="preserve"> The most vulnerable children could often be the first to drop out of school. Child Protection agencies can support Education actors to reach the </w:t>
      </w:r>
      <w:r>
        <w:t xml:space="preserve">hardest to reach children who are out of school. Without protection of children, we cannot achieve meaningful access to education. </w:t>
      </w:r>
    </w:p>
    <w:p w14:paraId="59F70A07" w14:textId="77777777" w:rsidR="00DA6FE3" w:rsidRDefault="00AF4CA7">
      <w:pPr>
        <w:pStyle w:val="NormalWeb"/>
        <w:numPr>
          <w:ilvl w:val="0"/>
          <w:numId w:val="4"/>
        </w:numPr>
        <w:spacing w:before="0" w:after="0"/>
        <w:jc w:val="both"/>
      </w:pPr>
      <w:r>
        <w:rPr>
          <w:b/>
          <w:bCs/>
        </w:rPr>
        <w:t>Livelihoods</w:t>
      </w:r>
      <w:r>
        <w:t>: Humanitarian situations impact the livelihood of caregivers, at times resulting in harmful coping mechanisms. L</w:t>
      </w:r>
      <w:r>
        <w:t xml:space="preserve">ivelihood’s agencies need to partner with Child Protection agencies to provide comprehensive support to children, including children in worst forms of child </w:t>
      </w:r>
      <w:proofErr w:type="spellStart"/>
      <w:r>
        <w:t>labour</w:t>
      </w:r>
      <w:proofErr w:type="spellEnd"/>
      <w:r>
        <w:t xml:space="preserve">.    </w:t>
      </w:r>
    </w:p>
    <w:p w14:paraId="75488E86" w14:textId="77777777" w:rsidR="00DA6FE3" w:rsidRDefault="00AF4CA7">
      <w:pPr>
        <w:pStyle w:val="NormalWeb"/>
        <w:numPr>
          <w:ilvl w:val="0"/>
          <w:numId w:val="4"/>
        </w:numPr>
        <w:spacing w:before="0" w:after="0"/>
        <w:jc w:val="both"/>
      </w:pPr>
      <w:r>
        <w:rPr>
          <w:b/>
          <w:bCs/>
        </w:rPr>
        <w:t>Gender-based violence Prevention &amp; Response</w:t>
      </w:r>
      <w:r>
        <w:t>: Intimate partner violence means that child</w:t>
      </w:r>
      <w:r>
        <w:t>ren are exposed to violence in the home. Child protection services can be integrated into programs addressing gender-based violence to ensure children are receiving the support they need to be safer in the home.</w:t>
      </w:r>
    </w:p>
    <w:p w14:paraId="7B909EAA" w14:textId="77777777" w:rsidR="00DA6FE3" w:rsidRDefault="00AF4CA7">
      <w:pPr>
        <w:pStyle w:val="NormalWeb"/>
        <w:numPr>
          <w:ilvl w:val="0"/>
          <w:numId w:val="4"/>
        </w:numPr>
        <w:spacing w:before="0" w:after="0"/>
        <w:jc w:val="both"/>
      </w:pPr>
      <w:r>
        <w:rPr>
          <w:b/>
          <w:bCs/>
        </w:rPr>
        <w:t>Local Partners and Children are experts in t</w:t>
      </w:r>
      <w:r>
        <w:rPr>
          <w:b/>
          <w:bCs/>
        </w:rPr>
        <w:t>heir own Protection</w:t>
      </w:r>
      <w:r>
        <w:t xml:space="preserve">: Children must be meaningfully consulted, and their decisions respected in design until program closure. The knowledge and skills of local actors as partners cannot be undermined.   </w:t>
      </w:r>
    </w:p>
    <w:p w14:paraId="7623E6DA" w14:textId="77777777" w:rsidR="00DA6FE3" w:rsidRDefault="00AF4CA7">
      <w:pPr>
        <w:pStyle w:val="NormalWeb"/>
        <w:numPr>
          <w:ilvl w:val="0"/>
          <w:numId w:val="4"/>
        </w:numPr>
        <w:spacing w:before="0" w:after="0"/>
        <w:jc w:val="both"/>
      </w:pPr>
      <w:r>
        <w:rPr>
          <w:b/>
          <w:bCs/>
        </w:rPr>
        <w:t>Donor community: By 2021, the Child Protection sector</w:t>
      </w:r>
      <w:r>
        <w:rPr>
          <w:b/>
          <w:bCs/>
        </w:rPr>
        <w:t xml:space="preserve"> remained under funded - this has</w:t>
      </w:r>
      <w:r>
        <w:t xml:space="preserve"> a direct impact on the safety of children and on communities’ wellbeing for years to come. To prevent and respond to millions of children at risk, child protection services can no longer be an afterthought. </w:t>
      </w:r>
    </w:p>
    <w:p w14:paraId="5A5C2637" w14:textId="77777777" w:rsidR="00DA6FE3" w:rsidRDefault="00AF4CA7">
      <w:pPr>
        <w:pStyle w:val="NormalWeb"/>
        <w:spacing w:before="0" w:after="0"/>
        <w:ind w:left="720"/>
        <w:jc w:val="both"/>
      </w:pPr>
      <w:r>
        <w:t>Donors Must:</w:t>
      </w:r>
    </w:p>
    <w:p w14:paraId="1C32F0E9" w14:textId="77777777" w:rsidR="00DA6FE3" w:rsidRDefault="00AF4CA7">
      <w:pPr>
        <w:pStyle w:val="NormalWeb"/>
        <w:numPr>
          <w:ilvl w:val="0"/>
          <w:numId w:val="5"/>
        </w:numPr>
        <w:spacing w:before="0" w:after="0"/>
        <w:jc w:val="both"/>
      </w:pPr>
      <w:r>
        <w:t>I</w:t>
      </w:r>
      <w:r>
        <w:t xml:space="preserve">ncrease funding for standalone child protection programming </w:t>
      </w:r>
    </w:p>
    <w:p w14:paraId="6950E7D2" w14:textId="77777777" w:rsidR="00DA6FE3" w:rsidRDefault="00AF4CA7">
      <w:pPr>
        <w:pStyle w:val="NormalWeb"/>
        <w:numPr>
          <w:ilvl w:val="0"/>
          <w:numId w:val="5"/>
        </w:numPr>
        <w:spacing w:before="0" w:after="0"/>
        <w:jc w:val="both"/>
      </w:pPr>
      <w:r>
        <w:t xml:space="preserve">Fund programming </w:t>
      </w:r>
      <w:r>
        <w:rPr>
          <w:b/>
          <w:bCs/>
        </w:rPr>
        <w:t>that provides individualized support to children through child protection case management</w:t>
      </w:r>
      <w:r>
        <w:t xml:space="preserve">, this is one activity that is life saving for children. </w:t>
      </w:r>
    </w:p>
    <w:p w14:paraId="5FDA4093" w14:textId="77777777" w:rsidR="00DA6FE3" w:rsidRDefault="00DA6FE3">
      <w:pPr>
        <w:pStyle w:val="NormalWeb"/>
        <w:spacing w:before="0" w:after="0"/>
        <w:jc w:val="both"/>
      </w:pPr>
    </w:p>
    <w:p w14:paraId="52EC26B6" w14:textId="77777777" w:rsidR="00DA6FE3" w:rsidRDefault="00AF4CA7">
      <w:pPr>
        <w:pStyle w:val="NormalWeb"/>
        <w:spacing w:before="0" w:after="0"/>
        <w:jc w:val="center"/>
        <w:rPr>
          <w:b/>
          <w:bCs/>
        </w:rPr>
      </w:pPr>
      <w:r>
        <w:rPr>
          <w:b/>
          <w:bCs/>
        </w:rPr>
        <w:t xml:space="preserve">We must recognize that one </w:t>
      </w:r>
      <w:r>
        <w:rPr>
          <w:b/>
          <w:bCs/>
        </w:rPr>
        <w:t xml:space="preserve">child’s suffering is enough for us to act.  </w:t>
      </w:r>
    </w:p>
    <w:p w14:paraId="4895EFC1" w14:textId="77777777" w:rsidR="00DA6FE3" w:rsidRDefault="00DA6FE3">
      <w:pPr>
        <w:pStyle w:val="NormalWeb"/>
        <w:spacing w:before="0" w:after="0"/>
        <w:jc w:val="center"/>
        <w:rPr>
          <w:b/>
          <w:bCs/>
        </w:rPr>
      </w:pPr>
    </w:p>
    <w:p w14:paraId="3B1B9E93" w14:textId="77777777" w:rsidR="00DA6FE3" w:rsidRDefault="00AF4CA7">
      <w:pPr>
        <w:pStyle w:val="NormalWeb"/>
        <w:spacing w:before="0" w:after="0"/>
        <w:jc w:val="center"/>
        <w:rPr>
          <w:b/>
          <w:bCs/>
        </w:rPr>
      </w:pPr>
      <w:r>
        <w:rPr>
          <w:b/>
          <w:bCs/>
        </w:rPr>
        <w:t xml:space="preserve">When children are safe and well, communities thrive. </w:t>
      </w:r>
    </w:p>
    <w:p w14:paraId="2D9F309D" w14:textId="77777777" w:rsidR="00DA6FE3" w:rsidRDefault="00DA6FE3"/>
    <w:sectPr w:rsidR="00DA6FE3">
      <w:pgSz w:w="12240" w:h="15840"/>
      <w:pgMar w:top="1440" w:right="1440" w:bottom="1440" w:left="144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150D0" w14:textId="77777777" w:rsidR="00AF4CA7" w:rsidRDefault="00AF4CA7">
      <w:pPr>
        <w:spacing w:after="0"/>
      </w:pPr>
      <w:r>
        <w:separator/>
      </w:r>
    </w:p>
  </w:endnote>
  <w:endnote w:type="continuationSeparator" w:id="0">
    <w:p w14:paraId="62793A25" w14:textId="77777777" w:rsidR="00AF4CA7" w:rsidRDefault="00AF4C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F12E4" w14:textId="77777777" w:rsidR="00AF4CA7" w:rsidRDefault="00AF4CA7">
      <w:pPr>
        <w:spacing w:after="0"/>
      </w:pPr>
      <w:r>
        <w:rPr>
          <w:color w:val="000000"/>
        </w:rPr>
        <w:separator/>
      </w:r>
    </w:p>
  </w:footnote>
  <w:footnote w:type="continuationSeparator" w:id="0">
    <w:p w14:paraId="2CBBBB1F" w14:textId="77777777" w:rsidR="00AF4CA7" w:rsidRDefault="00AF4CA7">
      <w:pPr>
        <w:spacing w:after="0"/>
      </w:pPr>
      <w:r>
        <w:continuationSeparator/>
      </w:r>
    </w:p>
  </w:footnote>
  <w:footnote w:id="1">
    <w:p w14:paraId="01F8C5A0" w14:textId="77777777" w:rsidR="00DA6FE3" w:rsidRDefault="00AF4CA7">
      <w:pPr>
        <w:pStyle w:val="FootnoteText"/>
      </w:pPr>
      <w:r>
        <w:rPr>
          <w:rStyle w:val="FootnoteReference"/>
        </w:rPr>
        <w:footnoteRef/>
      </w:r>
      <w:r>
        <w:rPr>
          <w:rFonts w:cs="Calibri"/>
          <w:color w:val="000000"/>
          <w:sz w:val="18"/>
          <w:szCs w:val="18"/>
          <w:lang w:val="fr-FR"/>
        </w:rPr>
        <w:t xml:space="preserve"> </w:t>
      </w:r>
      <w:bookmarkStart w:id="4" w:name="_Hlt87389043"/>
      <w:r>
        <w:fldChar w:fldCharType="begin"/>
      </w:r>
      <w:r>
        <w:instrText xml:space="preserve"> HYPERLINK  "https://pubmed.ncbi.nlm.nih.gov/27329936/" </w:instrText>
      </w:r>
      <w:r>
        <w:fldChar w:fldCharType="separate"/>
      </w:r>
      <w:proofErr w:type="spellStart"/>
      <w:r>
        <w:rPr>
          <w:rStyle w:val="Hyperlink"/>
          <w:rFonts w:eastAsia="Times New Roman" w:cs="Calibri"/>
          <w:sz w:val="18"/>
          <w:szCs w:val="18"/>
          <w:lang w:val="fr-FR"/>
        </w:rPr>
        <w:t>Guedes</w:t>
      </w:r>
      <w:proofErr w:type="spellEnd"/>
      <w:r>
        <w:rPr>
          <w:rStyle w:val="Hyperlink"/>
          <w:rFonts w:eastAsia="Times New Roman" w:cs="Calibri"/>
          <w:sz w:val="18"/>
          <w:szCs w:val="18"/>
          <w:lang w:val="fr-FR"/>
        </w:rPr>
        <w:t xml:space="preserve"> et al.,2016</w:t>
      </w:r>
      <w:r>
        <w:rPr>
          <w:rStyle w:val="Hyperlink"/>
          <w:rFonts w:eastAsia="Times New Roman" w:cs="Calibri"/>
          <w:sz w:val="18"/>
          <w:szCs w:val="18"/>
          <w:lang w:val="fr-FR"/>
        </w:rPr>
        <w:fldChar w:fldCharType="end"/>
      </w:r>
      <w:bookmarkEnd w:id="4"/>
    </w:p>
  </w:footnote>
  <w:footnote w:id="2">
    <w:p w14:paraId="3FC24079" w14:textId="77777777" w:rsidR="00DA6FE3" w:rsidRDefault="00AF4CA7">
      <w:pPr>
        <w:pStyle w:val="FootnoteText"/>
      </w:pPr>
      <w:r>
        <w:rPr>
          <w:rStyle w:val="FootnoteReference"/>
        </w:rPr>
        <w:footnoteRef/>
      </w:r>
      <w:r>
        <w:rPr>
          <w:rFonts w:cs="Calibri"/>
          <w:color w:val="000000"/>
          <w:sz w:val="18"/>
          <w:szCs w:val="18"/>
          <w:lang w:val="fr-FR"/>
        </w:rPr>
        <w:t xml:space="preserve"> </w:t>
      </w:r>
      <w:hyperlink r:id="rId1" w:history="1">
        <w:r>
          <w:rPr>
            <w:rStyle w:val="Hyperlink"/>
            <w:rFonts w:eastAsia="Times New Roman" w:cs="Calibri"/>
            <w:sz w:val="18"/>
            <w:szCs w:val="18"/>
            <w:lang w:val="fr-FR"/>
          </w:rPr>
          <w:t>Fulu et al., 2017</w:t>
        </w:r>
      </w:hyperlink>
    </w:p>
  </w:footnote>
  <w:footnote w:id="3">
    <w:p w14:paraId="1A304864" w14:textId="77777777" w:rsidR="00DA6FE3" w:rsidRDefault="00AF4CA7">
      <w:pPr>
        <w:pStyle w:val="FootnoteText"/>
      </w:pPr>
      <w:r>
        <w:rPr>
          <w:rStyle w:val="FootnoteReference"/>
        </w:rPr>
        <w:footnoteRef/>
      </w:r>
      <w:r>
        <w:rPr>
          <w:sz w:val="18"/>
          <w:szCs w:val="18"/>
        </w:rPr>
        <w:t xml:space="preserve"> </w:t>
      </w:r>
      <w:proofErr w:type="spellStart"/>
      <w:r>
        <w:rPr>
          <w:color w:val="000000"/>
          <w:sz w:val="18"/>
          <w:szCs w:val="18"/>
        </w:rPr>
        <w:t>Falb</w:t>
      </w:r>
      <w:proofErr w:type="spellEnd"/>
      <w:r>
        <w:rPr>
          <w:color w:val="000000"/>
          <w:sz w:val="18"/>
          <w:szCs w:val="18"/>
        </w:rPr>
        <w:t xml:space="preserve"> et al., (</w:t>
      </w:r>
      <w:r>
        <w:rPr>
          <w:i/>
          <w:iCs/>
          <w:color w:val="000000"/>
          <w:sz w:val="18"/>
          <w:szCs w:val="18"/>
        </w:rPr>
        <w:t>I</w:t>
      </w:r>
      <w:r>
        <w:rPr>
          <w:i/>
          <w:iCs/>
          <w:color w:val="000000"/>
          <w:sz w:val="18"/>
          <w:szCs w:val="18"/>
        </w:rPr>
        <w:t>n press</w:t>
      </w:r>
      <w:r>
        <w:rPr>
          <w:color w:val="000000"/>
          <w:sz w:val="18"/>
          <w:szCs w:val="18"/>
        </w:rPr>
        <w:t>). Co-occurring intimate partner violence and child abuse in eastern Democratic Republic of Congo: the influence of early life experiences of abuse.</w:t>
      </w:r>
    </w:p>
  </w:footnote>
  <w:footnote w:id="4">
    <w:p w14:paraId="4955D40F" w14:textId="77777777" w:rsidR="00DA6FE3" w:rsidRDefault="00AF4CA7">
      <w:pPr>
        <w:shd w:val="clear" w:color="auto" w:fill="FFFFFF"/>
        <w:spacing w:after="0"/>
        <w:jc w:val="both"/>
      </w:pPr>
      <w:r>
        <w:rPr>
          <w:rStyle w:val="FootnoteReference"/>
        </w:rPr>
        <w:footnoteRef/>
      </w:r>
      <w:r>
        <w:rPr>
          <w:color w:val="000000"/>
          <w:sz w:val="18"/>
          <w:szCs w:val="18"/>
          <w:lang w:val="fr-FR"/>
        </w:rPr>
        <w:t xml:space="preserve"> </w:t>
      </w:r>
      <w:hyperlink r:id="rId2" w:history="1">
        <w:proofErr w:type="spellStart"/>
        <w:r>
          <w:rPr>
            <w:rStyle w:val="Hyperlink"/>
            <w:rFonts w:cs="Calibri"/>
            <w:sz w:val="18"/>
            <w:szCs w:val="18"/>
            <w:shd w:val="clear" w:color="auto" w:fill="FFFFFF"/>
            <w:lang w:val="fr-FR"/>
          </w:rPr>
          <w:t>Mootz</w:t>
        </w:r>
        <w:proofErr w:type="spellEnd"/>
        <w:r>
          <w:rPr>
            <w:rStyle w:val="Hyperlink"/>
            <w:rFonts w:cs="Calibri"/>
            <w:sz w:val="18"/>
            <w:szCs w:val="18"/>
            <w:shd w:val="clear" w:color="auto" w:fill="FFFFFF"/>
            <w:lang w:val="fr-FR"/>
          </w:rPr>
          <w:t xml:space="preserve"> et al., 20</w:t>
        </w:r>
        <w:bookmarkStart w:id="5" w:name="_Hlt87388818"/>
        <w:bookmarkStart w:id="6" w:name="_Hlt87388819"/>
        <w:r>
          <w:rPr>
            <w:rStyle w:val="Hyperlink"/>
            <w:rFonts w:cs="Calibri"/>
            <w:sz w:val="18"/>
            <w:szCs w:val="18"/>
            <w:shd w:val="clear" w:color="auto" w:fill="FFFFFF"/>
            <w:lang w:val="fr-FR"/>
          </w:rPr>
          <w:t>1</w:t>
        </w:r>
        <w:bookmarkEnd w:id="5"/>
        <w:bookmarkEnd w:id="6"/>
        <w:r>
          <w:rPr>
            <w:rStyle w:val="Hyperlink"/>
            <w:rFonts w:cs="Calibri"/>
            <w:sz w:val="18"/>
            <w:szCs w:val="18"/>
            <w:shd w:val="clear" w:color="auto" w:fill="FFFFFF"/>
            <w:lang w:val="fr-FR"/>
          </w:rPr>
          <w:t>9</w:t>
        </w:r>
      </w:hyperlink>
      <w:r>
        <w:rPr>
          <w:rFonts w:cs="Calibri"/>
          <w:color w:val="000000"/>
          <w:sz w:val="18"/>
          <w:szCs w:val="18"/>
          <w:shd w:val="clear" w:color="auto" w:fill="FFFFFF"/>
          <w:lang w:val="fr-FR"/>
        </w:rPr>
        <w:t xml:space="preserve">; </w:t>
      </w:r>
      <w:hyperlink r:id="rId3" w:history="1">
        <w:proofErr w:type="spellStart"/>
        <w:r>
          <w:rPr>
            <w:rStyle w:val="Hyperlink"/>
            <w:rFonts w:cs="Calibri"/>
            <w:sz w:val="18"/>
            <w:szCs w:val="18"/>
            <w:shd w:val="clear" w:color="auto" w:fill="FFFFFF"/>
            <w:lang w:val="fr-FR"/>
          </w:rPr>
          <w:t>Rubenstein</w:t>
        </w:r>
        <w:proofErr w:type="spellEnd"/>
        <w:r>
          <w:rPr>
            <w:rStyle w:val="Hyperlink"/>
            <w:rFonts w:cs="Calibri"/>
            <w:sz w:val="18"/>
            <w:szCs w:val="18"/>
            <w:shd w:val="clear" w:color="auto" w:fill="FFFFFF"/>
            <w:lang w:val="fr-FR"/>
          </w:rPr>
          <w:t xml:space="preserve"> &amp; Stark, 2017</w:t>
        </w:r>
      </w:hyperlink>
      <w:r>
        <w:rPr>
          <w:rFonts w:cs="Calibri"/>
          <w:color w:val="000000"/>
          <w:sz w:val="18"/>
          <w:szCs w:val="18"/>
          <w:shd w:val="clear" w:color="auto" w:fill="FFFFFF"/>
          <w:lang w:val="fr-FR"/>
        </w:rPr>
        <w:t xml:space="preserve">; </w:t>
      </w:r>
      <w:hyperlink r:id="rId4" w:history="1">
        <w:proofErr w:type="spellStart"/>
        <w:r>
          <w:rPr>
            <w:rStyle w:val="Hyperlink"/>
            <w:rFonts w:cs="Calibri"/>
            <w:sz w:val="18"/>
            <w:szCs w:val="18"/>
            <w:shd w:val="clear" w:color="auto" w:fill="FFFFFF"/>
            <w:lang w:val="fr-FR"/>
          </w:rPr>
          <w:t>Falb</w:t>
        </w:r>
        <w:proofErr w:type="spellEnd"/>
        <w:r>
          <w:rPr>
            <w:rStyle w:val="Hyperlink"/>
            <w:rFonts w:cs="Calibri"/>
            <w:sz w:val="18"/>
            <w:szCs w:val="18"/>
            <w:shd w:val="clear" w:color="auto" w:fill="FFFFFF"/>
            <w:lang w:val="fr-FR"/>
          </w:rPr>
          <w:t xml:space="preserve"> et al., 2020</w:t>
        </w:r>
      </w:hyperlink>
      <w:r>
        <w:rPr>
          <w:rFonts w:cs="Calibri"/>
          <w:color w:val="000000"/>
          <w:sz w:val="18"/>
          <w:szCs w:val="18"/>
          <w:shd w:val="clear" w:color="auto" w:fill="FFFFFF"/>
          <w:lang w:val="fr-FR"/>
        </w:rPr>
        <w:t>.</w:t>
      </w:r>
    </w:p>
  </w:footnote>
  <w:footnote w:id="5">
    <w:p w14:paraId="7CB511F8" w14:textId="77777777" w:rsidR="00DA6FE3" w:rsidRDefault="00AF4CA7">
      <w:pPr>
        <w:pStyle w:val="FootnoteText"/>
      </w:pPr>
      <w:r>
        <w:rPr>
          <w:rStyle w:val="FootnoteReference"/>
        </w:rPr>
        <w:footnoteRef/>
      </w:r>
      <w:r>
        <w:rPr>
          <w:rFonts w:cs="Calibri"/>
          <w:color w:val="000000"/>
          <w:sz w:val="18"/>
          <w:szCs w:val="18"/>
          <w:lang w:val="fr-FR"/>
        </w:rPr>
        <w:t xml:space="preserve"> </w:t>
      </w:r>
      <w:hyperlink r:id="rId5" w:history="1">
        <w:proofErr w:type="spellStart"/>
        <w:r>
          <w:rPr>
            <w:rStyle w:val="Hyperlink"/>
            <w:rFonts w:eastAsia="Times New Roman" w:cs="Calibri"/>
            <w:sz w:val="18"/>
            <w:szCs w:val="18"/>
            <w:lang w:val="fr-FR"/>
          </w:rPr>
          <w:t>Hossain</w:t>
        </w:r>
        <w:proofErr w:type="spellEnd"/>
        <w:r>
          <w:rPr>
            <w:rStyle w:val="Hyperlink"/>
            <w:rFonts w:eastAsia="Times New Roman" w:cs="Calibri"/>
            <w:sz w:val="18"/>
            <w:szCs w:val="18"/>
            <w:lang w:val="fr-FR"/>
          </w:rPr>
          <w:t xml:space="preserve"> et al.,2014</w:t>
        </w:r>
      </w:hyperlink>
      <w:r>
        <w:rPr>
          <w:rFonts w:eastAsia="Times New Roman" w:cs="Calibri"/>
          <w:color w:val="000000"/>
          <w:sz w:val="18"/>
          <w:szCs w:val="18"/>
          <w:lang w:val="fr-FR"/>
        </w:rPr>
        <w:t xml:space="preserve">; </w:t>
      </w:r>
      <w:hyperlink r:id="rId6" w:history="1">
        <w:proofErr w:type="spellStart"/>
        <w:r>
          <w:rPr>
            <w:rStyle w:val="Hyperlink"/>
            <w:rFonts w:eastAsia="Times New Roman" w:cs="Calibri"/>
            <w:sz w:val="18"/>
            <w:szCs w:val="18"/>
            <w:lang w:val="fr-FR"/>
          </w:rPr>
          <w:t>Guedes</w:t>
        </w:r>
        <w:proofErr w:type="spellEnd"/>
        <w:r>
          <w:rPr>
            <w:rStyle w:val="Hyperlink"/>
            <w:rFonts w:eastAsia="Times New Roman" w:cs="Calibri"/>
            <w:sz w:val="18"/>
            <w:szCs w:val="18"/>
            <w:lang w:val="fr-FR"/>
          </w:rPr>
          <w:t xml:space="preserve"> et al.,2016</w:t>
        </w:r>
      </w:hyperlink>
      <w:r>
        <w:rPr>
          <w:rFonts w:eastAsia="Times New Roman" w:cs="Calibri"/>
          <w:color w:val="000000"/>
          <w:sz w:val="18"/>
          <w:szCs w:val="18"/>
          <w:lang w:val="fr-FR"/>
        </w:rPr>
        <w:t xml:space="preserve"> ; </w:t>
      </w:r>
      <w:hyperlink r:id="rId7" w:history="1">
        <w:proofErr w:type="spellStart"/>
        <w:r>
          <w:rPr>
            <w:rStyle w:val="Hyperlink"/>
            <w:rFonts w:cs="Calibri"/>
            <w:sz w:val="18"/>
            <w:szCs w:val="18"/>
            <w:shd w:val="clear" w:color="auto" w:fill="FFFFFF"/>
            <w:lang w:val="fr-FR"/>
          </w:rPr>
          <w:t>Rubenstein</w:t>
        </w:r>
        <w:proofErr w:type="spellEnd"/>
        <w:r>
          <w:rPr>
            <w:rStyle w:val="Hyperlink"/>
            <w:rFonts w:cs="Calibri"/>
            <w:sz w:val="18"/>
            <w:szCs w:val="18"/>
            <w:shd w:val="clear" w:color="auto" w:fill="FFFFFF"/>
            <w:lang w:val="fr-FR"/>
          </w:rPr>
          <w:t xml:space="preserve"> &amp; Stark, 2017</w:t>
        </w:r>
      </w:hyperlink>
    </w:p>
  </w:footnote>
  <w:footnote w:id="6">
    <w:p w14:paraId="497F6515" w14:textId="77777777" w:rsidR="00DA6FE3" w:rsidRDefault="00AF4CA7">
      <w:pPr>
        <w:pStyle w:val="FootnoteText"/>
      </w:pPr>
      <w:r>
        <w:rPr>
          <w:rStyle w:val="FootnoteReference"/>
        </w:rPr>
        <w:footnoteRef/>
      </w:r>
      <w:r>
        <w:rPr>
          <w:color w:val="000000"/>
          <w:sz w:val="18"/>
          <w:szCs w:val="18"/>
          <w:lang w:val="fr-FR"/>
        </w:rPr>
        <w:t xml:space="preserve"> </w:t>
      </w:r>
      <w:hyperlink r:id="rId8" w:history="1">
        <w:r>
          <w:rPr>
            <w:rStyle w:val="Hyperlink"/>
            <w:sz w:val="18"/>
            <w:szCs w:val="18"/>
            <w:lang w:val="fr-FR"/>
          </w:rPr>
          <w:t xml:space="preserve">Puffer et al. </w:t>
        </w:r>
        <w:r>
          <w:rPr>
            <w:rStyle w:val="Hyperlink"/>
            <w:sz w:val="18"/>
            <w:szCs w:val="18"/>
          </w:rPr>
          <w:t>(2015).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228E8"/>
    <w:multiLevelType w:val="multilevel"/>
    <w:tmpl w:val="323CB6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A3C3063"/>
    <w:multiLevelType w:val="multilevel"/>
    <w:tmpl w:val="238405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0AC16DD"/>
    <w:multiLevelType w:val="multilevel"/>
    <w:tmpl w:val="85EC4316"/>
    <w:lvl w:ilvl="0">
      <w:start w:val="1"/>
      <w:numFmt w:val="lowerLetter"/>
      <w:lvlText w:val="%1)"/>
      <w:lvlJc w:val="left"/>
      <w:pPr>
        <w:ind w:left="1125" w:hanging="360"/>
      </w:pPr>
      <w:rPr>
        <w:b/>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3" w15:restartNumberingAfterBreak="0">
    <w:nsid w:val="5FA04227"/>
    <w:multiLevelType w:val="multilevel"/>
    <w:tmpl w:val="3F564C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4D5086D"/>
    <w:multiLevelType w:val="multilevel"/>
    <w:tmpl w:val="00B6BD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A6FE3"/>
    <w:rsid w:val="002D793D"/>
    <w:rsid w:val="008C00E3"/>
    <w:rsid w:val="00AF4CA7"/>
    <w:rsid w:val="00DA6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15F4A"/>
  <w15:docId w15:val="{EC51BAC3-9388-4A06-8154-01410E23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pPr>
    <w:rPr>
      <w:rFonts w:eastAsia="Times New Roman" w:cs="Calibri"/>
    </w:rPr>
  </w:style>
  <w:style w:type="paragraph" w:styleId="ListParagraph">
    <w:name w:val="List Paragraph"/>
    <w:basedOn w:val="Normal"/>
    <w:pPr>
      <w:suppressAutoHyphens w:val="0"/>
      <w:spacing w:after="0"/>
      <w:ind w:left="720"/>
    </w:pPr>
    <w:rPr>
      <w:rFonts w:cs="Calibri"/>
    </w:rPr>
  </w:style>
  <w:style w:type="paragraph" w:styleId="FootnoteText">
    <w:name w:val="footnote text"/>
    <w:basedOn w:val="Normal"/>
    <w:pPr>
      <w:spacing w:after="0"/>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paragraph" w:styleId="Revision">
    <w:name w:val="Revision"/>
    <w:pPr>
      <w:spacing w:after="0"/>
    </w:pPr>
  </w:style>
  <w:style w:type="character" w:styleId="Hyperlink">
    <w:name w:val="Hyperlink"/>
    <w:basedOn w:val="DefaultParagraphFont"/>
    <w:rPr>
      <w:color w:val="0563C1"/>
      <w:u w:val="single"/>
    </w:rPr>
  </w:style>
  <w:style w:type="character" w:styleId="FollowedHyperlink">
    <w:name w:val="FollowedHyperlink"/>
    <w:basedOn w:val="DefaultParagraphFont"/>
    <w:rPr>
      <w:color w:val="954F72"/>
      <w:u w:val="single"/>
    </w:rPr>
  </w:style>
  <w:style w:type="character" w:styleId="UnresolvedMention">
    <w:name w:val="Unresolved Mention"/>
    <w:basedOn w:val="DefaultParagraphFont"/>
    <w:rPr>
      <w:color w:val="605E5C"/>
      <w:shd w:val="clear" w:color="auto" w:fill="E1DFDD"/>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escue.app.box.com/file/883214648899?s=snvnobqsdfg8p1hlpuehsvjwjy9ep59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scue.app.box.com/file/883214306753?s=f0w1gpqsy7ov3f7e93oqgthd7mo9tu1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ubmed.ncbi.nlm.nih.gov/28596863/" TargetMode="External"/><Relationship Id="rId3" Type="http://schemas.openxmlformats.org/officeDocument/2006/relationships/hyperlink" Target="https://pubmed.ncbi.nlm.nih.gov/28395846/" TargetMode="External"/><Relationship Id="rId7" Type="http://schemas.openxmlformats.org/officeDocument/2006/relationships/hyperlink" Target="https://pubmed.ncbi.nlm.nih.gov/28395846/" TargetMode="External"/><Relationship Id="rId2" Type="http://schemas.openxmlformats.org/officeDocument/2006/relationships/hyperlink" Target="https://conflictandhealth.biomedcentral.com/articles/10.1186/s13031-019-0200-6" TargetMode="External"/><Relationship Id="rId1" Type="http://schemas.openxmlformats.org/officeDocument/2006/relationships/hyperlink" Target="https://pubmed.ncbi.nlm.nih.gov/28395846/" TargetMode="External"/><Relationship Id="rId6" Type="http://schemas.openxmlformats.org/officeDocument/2006/relationships/hyperlink" Target="https://pubmed.ncbi.nlm.nih.gov/27329936/" TargetMode="External"/><Relationship Id="rId5" Type="http://schemas.openxmlformats.org/officeDocument/2006/relationships/hyperlink" Target="https://www.ncbi.nlm.nih.gov/pmc/articles/PMC3939650/" TargetMode="External"/><Relationship Id="rId4" Type="http://schemas.openxmlformats.org/officeDocument/2006/relationships/hyperlink" Target="https://pubmed.ncbi.nlm.nih.gov/324388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4287</Characters>
  <Application>Microsoft Office Word</Application>
  <DocSecurity>0</DocSecurity>
  <Lines>35</Lines>
  <Paragraphs>10</Paragraphs>
  <ScaleCrop>false</ScaleCrop>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Mabger</dc:creator>
  <dc:description/>
  <cp:lastModifiedBy>Matt Amaral</cp:lastModifiedBy>
  <cp:revision>2</cp:revision>
  <dcterms:created xsi:type="dcterms:W3CDTF">2021-11-19T00:59:00Z</dcterms:created>
  <dcterms:modified xsi:type="dcterms:W3CDTF">2021-11-19T00:59:00Z</dcterms:modified>
</cp:coreProperties>
</file>